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3C1F1E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ENG7</w:t>
      </w:r>
      <w:r w:rsidRPr="007A395D">
        <w:rPr>
          <w:rFonts w:ascii="Calibri" w:hAnsi="Calibri"/>
        </w:rPr>
        <w:t>-</w:t>
      </w:r>
      <w:r w:rsidR="00185E9E">
        <w:rPr>
          <w:rFonts w:ascii="Calibri" w:hAnsi="Calibri"/>
        </w:rPr>
        <w:t>10.21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C5AA0E9"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3910" w:rsidRPr="00993910">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0BC79547" w14:textId="4FE801C2"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993910" w:rsidRPr="00993910">
        <w:rPr>
          <w:b/>
        </w:rPr>
        <w:t>X</w:t>
      </w:r>
      <w:r w:rsidRPr="007A395D">
        <w:t xml:space="preserve">  Information</w:t>
      </w:r>
    </w:p>
    <w:p w14:paraId="3E1C02C4" w14:textId="77777777" w:rsidR="0080294B" w:rsidRPr="007A395D" w:rsidRDefault="0080294B" w:rsidP="00F36489">
      <w:pPr>
        <w:pStyle w:val="BodyText"/>
      </w:pPr>
    </w:p>
    <w:p w14:paraId="4DD25FD9" w14:textId="6BADE6D9"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203192" w:rsidRPr="00203192">
        <w:t>10</w:t>
      </w:r>
    </w:p>
    <w:p w14:paraId="6CFA6142" w14:textId="0AF3856A" w:rsidR="00677FAA" w:rsidRPr="00993910" w:rsidRDefault="00677FAA" w:rsidP="00677FAA">
      <w:pPr>
        <w:pStyle w:val="BodyText"/>
        <w:rPr>
          <w:lang w:val="en-US"/>
        </w:rPr>
      </w:pPr>
      <w:r>
        <w:t xml:space="preserve">Workplan </w:t>
      </w:r>
      <w:r w:rsidRPr="007A395D">
        <w:t>Task Number</w:t>
      </w:r>
      <w:r>
        <w:t xml:space="preserve"> / Technical Domain</w:t>
      </w:r>
      <w:r w:rsidRPr="007A395D">
        <w:t xml:space="preserve"> </w:t>
      </w:r>
      <w:r w:rsidRPr="007A395D">
        <w:rPr>
          <w:vertAlign w:val="superscript"/>
        </w:rPr>
        <w:t>2</w:t>
      </w:r>
      <w:r w:rsidRPr="007A395D">
        <w:tab/>
      </w:r>
      <w:r w:rsidR="002771FE">
        <w:t>5.3.3</w:t>
      </w:r>
    </w:p>
    <w:p w14:paraId="5C721796" w14:textId="391410C5" w:rsidR="00677FAA" w:rsidRPr="007A395D" w:rsidRDefault="00677FAA" w:rsidP="00677FAA">
      <w:pPr>
        <w:pStyle w:val="BodyText"/>
      </w:pPr>
      <w:r>
        <w:t>Working Group</w:t>
      </w:r>
      <w:r>
        <w:tab/>
      </w:r>
      <w:r>
        <w:tab/>
      </w:r>
      <w:r>
        <w:tab/>
      </w:r>
      <w:r>
        <w:tab/>
      </w:r>
      <w:r>
        <w:tab/>
      </w:r>
      <w:r w:rsidR="00993910">
        <w:t>WG 2</w:t>
      </w:r>
    </w:p>
    <w:p w14:paraId="1206E2D5" w14:textId="07257511" w:rsidR="00203192" w:rsidRPr="003A1F7C" w:rsidRDefault="00362CD9" w:rsidP="00203192">
      <w:pPr>
        <w:pStyle w:val="BodyText"/>
        <w:rPr>
          <w:lang w:val="en-US"/>
        </w:rPr>
      </w:pPr>
      <w:r w:rsidRPr="007A395D">
        <w:t>Author(s)</w:t>
      </w:r>
      <w:r w:rsidR="00FE5674" w:rsidRPr="007A395D">
        <w:t xml:space="preserve"> / Submitter(s)</w:t>
      </w:r>
      <w:r w:rsidRPr="007A395D">
        <w:tab/>
      </w:r>
      <w:r w:rsidR="0080294B" w:rsidRPr="007A395D">
        <w:tab/>
      </w:r>
      <w:r w:rsidR="0080294B" w:rsidRPr="007A395D">
        <w:tab/>
      </w:r>
      <w:r w:rsidR="00677FAA">
        <w:tab/>
      </w:r>
      <w:proofErr w:type="spellStart"/>
      <w:r w:rsidR="00C759E8">
        <w:t>Dr</w:t>
      </w:r>
      <w:r w:rsidR="003A1F7C" w:rsidRPr="003A1F7C">
        <w:t>.</w:t>
      </w:r>
      <w:proofErr w:type="spellEnd"/>
      <w:r w:rsidR="003A1F7C" w:rsidRPr="003A1F7C">
        <w:t xml:space="preserve"> Jong-</w:t>
      </w:r>
      <w:proofErr w:type="spellStart"/>
      <w:r w:rsidR="003A1F7C" w:rsidRPr="003A1F7C">
        <w:t>Uk</w:t>
      </w:r>
      <w:proofErr w:type="spellEnd"/>
      <w:r w:rsidR="003A1F7C" w:rsidRPr="003A1F7C">
        <w:t xml:space="preserve"> Kim / Korea Association of Aids to Navigation</w:t>
      </w:r>
    </w:p>
    <w:p w14:paraId="60BCC120" w14:textId="77777777" w:rsidR="0080294B" w:rsidRPr="00203192" w:rsidRDefault="0080294B" w:rsidP="00F36489">
      <w:pPr>
        <w:pStyle w:val="BodyText"/>
        <w:rPr>
          <w:lang w:val="en-US"/>
        </w:rPr>
      </w:pPr>
    </w:p>
    <w:p w14:paraId="4834080C" w14:textId="2EA6935C" w:rsidR="00A446C9" w:rsidRPr="003A1F7C" w:rsidRDefault="003A1F7C" w:rsidP="00F36489">
      <w:pPr>
        <w:pStyle w:val="Title"/>
        <w:rPr>
          <w:color w:val="00558C"/>
          <w:lang w:val="en-US"/>
        </w:rPr>
      </w:pPr>
      <w:r w:rsidRPr="003A1F7C">
        <w:rPr>
          <w:color w:val="00558C"/>
        </w:rPr>
        <w:t>Uniformity of terminology for Spar Buoy and Buoyant Beacon</w:t>
      </w:r>
    </w:p>
    <w:p w14:paraId="0F258596" w14:textId="50FB6E37" w:rsidR="00A446C9" w:rsidRPr="004D4B1B" w:rsidRDefault="00A446C9" w:rsidP="009B5263">
      <w:pPr>
        <w:pStyle w:val="Heading1"/>
      </w:pPr>
      <w:r w:rsidRPr="009B526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7244A34" w:rsidR="00E55927" w:rsidRPr="00C759E8" w:rsidRDefault="00C759E8" w:rsidP="00B60428">
      <w:pPr>
        <w:pStyle w:val="BodyText"/>
        <w:rPr>
          <w:lang w:val="en-US"/>
        </w:rPr>
      </w:pPr>
      <w:r w:rsidRPr="00C759E8">
        <w:t xml:space="preserve">The Spar Buoy and Buoyant </w:t>
      </w:r>
      <w:proofErr w:type="gramStart"/>
      <w:r w:rsidRPr="00C759E8">
        <w:t>beacon(</w:t>
      </w:r>
      <w:proofErr w:type="gramEnd"/>
      <w:r w:rsidRPr="00C759E8">
        <w:t>Articulated beacon) are used in the same concept as floating structures, but these are divided into two type on nautical chart symbol and IALA Dictionary. This paper is proposed to the necessity of unification of terms.</w:t>
      </w:r>
    </w:p>
    <w:p w14:paraId="36D645BE" w14:textId="77777777" w:rsidR="00B56BDF" w:rsidRPr="007A395D" w:rsidRDefault="00B56BDF" w:rsidP="00605E43">
      <w:pPr>
        <w:pStyle w:val="Heading2"/>
      </w:pPr>
      <w:r w:rsidRPr="007A395D">
        <w:t>Related documents</w:t>
      </w:r>
    </w:p>
    <w:p w14:paraId="553E55ED" w14:textId="1CAD3F6B" w:rsidR="00E55927" w:rsidRPr="00C759E8" w:rsidRDefault="00C759E8" w:rsidP="00F36489">
      <w:pPr>
        <w:pStyle w:val="BodyText"/>
        <w:rPr>
          <w:lang w:val="en-US"/>
        </w:rPr>
      </w:pPr>
      <w:r w:rsidRPr="00C759E8">
        <w:t xml:space="preserve">IALA Guideline No. 1099 on the Hydrostatic design of </w:t>
      </w:r>
      <w:proofErr w:type="gramStart"/>
      <w:r w:rsidRPr="00C759E8">
        <w:t>buoys(</w:t>
      </w:r>
      <w:proofErr w:type="gramEnd"/>
      <w:r w:rsidRPr="00C759E8">
        <w:t>Ed. 1, ‘13.5), IALA Dictionary</w:t>
      </w:r>
    </w:p>
    <w:p w14:paraId="041E9135" w14:textId="77777777" w:rsidR="00A446C9" w:rsidRPr="007A395D" w:rsidRDefault="00A446C9" w:rsidP="00605E43">
      <w:pPr>
        <w:pStyle w:val="Heading1"/>
      </w:pPr>
      <w:r w:rsidRPr="007A395D">
        <w:t>Discussion</w:t>
      </w:r>
    </w:p>
    <w:p w14:paraId="57B903A0" w14:textId="683DA9A9" w:rsidR="003A1F7C" w:rsidRDefault="00C759E8" w:rsidP="003A1F7C">
      <w:pPr>
        <w:pStyle w:val="BodyText"/>
      </w:pPr>
      <w:r w:rsidRPr="00C759E8">
        <w:t xml:space="preserve">According to the IALA Dictionary, the Spar Buoy is defined as a buoy in the shape </w:t>
      </w:r>
      <w:proofErr w:type="gramStart"/>
      <w:r w:rsidRPr="00C759E8">
        <w:t>spar(</w:t>
      </w:r>
      <w:proofErr w:type="gramEnd"/>
      <w:r w:rsidRPr="00C759E8">
        <w:t>ship mast lumber) floating nearly vertically. The Buoyant beacon is similar to Spar Buoy.</w:t>
      </w:r>
    </w:p>
    <w:p w14:paraId="261C37D9" w14:textId="72472497" w:rsidR="003A1F7C" w:rsidRPr="00C759E8" w:rsidRDefault="00C759E8" w:rsidP="003A1F7C">
      <w:pPr>
        <w:pStyle w:val="BodyText"/>
        <w:rPr>
          <w:lang w:val="en-US"/>
        </w:rPr>
      </w:pPr>
      <w:r w:rsidRPr="00C759E8">
        <w:t xml:space="preserve">Buoyant beacon was renamed the Articulated beacon according to the IALA Guideline 1099 on the Hydrostatic design of </w:t>
      </w:r>
      <w:proofErr w:type="gramStart"/>
      <w:r w:rsidRPr="00C759E8">
        <w:t>buoys(</w:t>
      </w:r>
      <w:proofErr w:type="gramEnd"/>
      <w:r w:rsidRPr="00C759E8">
        <w:t>May 2013.) and classified as Spar Buoy.</w:t>
      </w:r>
    </w:p>
    <w:p w14:paraId="23B5467E" w14:textId="1254BBE5" w:rsidR="00B60428" w:rsidRDefault="00B60428" w:rsidP="003A1F7C">
      <w:pPr>
        <w:pStyle w:val="BodyText"/>
      </w:pPr>
    </w:p>
    <w:p w14:paraId="6C044834" w14:textId="77777777" w:rsidR="00B22F01" w:rsidRPr="00B22F01" w:rsidRDefault="00B22F01" w:rsidP="00B60428">
      <w:pPr>
        <w:pStyle w:val="BodyText"/>
        <w:rPr>
          <w:rFonts w:asciiTheme="minorHAnsi" w:hAnsiTheme="minorHAnsi" w:cstheme="minorHAnsi"/>
          <w:lang w:val="en-US"/>
        </w:rPr>
      </w:pPr>
    </w:p>
    <w:p w14:paraId="3824C257" w14:textId="5AF51A22" w:rsidR="003A1F7C" w:rsidRDefault="003A1F7C" w:rsidP="003A1F7C">
      <w:pPr>
        <w:pStyle w:val="a"/>
        <w:snapToGrid/>
        <w:jc w:val="center"/>
      </w:pPr>
      <w:r>
        <w:rPr>
          <w:noProof/>
          <w:lang w:val="en-IE" w:eastAsia="en-IE"/>
        </w:rPr>
        <w:lastRenderedPageBreak/>
        <w:drawing>
          <wp:inline distT="0" distB="0" distL="0" distR="0" wp14:anchorId="02A6129D" wp14:editId="4C7F0D16">
            <wp:extent cx="2762250" cy="2571750"/>
            <wp:effectExtent l="0" t="0" r="0" b="0"/>
            <wp:docPr id="3" name="그림 3" descr="EMB0000514046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69456376" descr="EMB0000514046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2571750"/>
                    </a:xfrm>
                    <a:prstGeom prst="rect">
                      <a:avLst/>
                    </a:prstGeom>
                    <a:noFill/>
                    <a:ln>
                      <a:noFill/>
                    </a:ln>
                  </pic:spPr>
                </pic:pic>
              </a:graphicData>
            </a:graphic>
          </wp:inline>
        </w:drawing>
      </w:r>
    </w:p>
    <w:p w14:paraId="7C9DD384" w14:textId="0DE042FD" w:rsidR="00203192" w:rsidRPr="00203192" w:rsidRDefault="00203192" w:rsidP="002B0907">
      <w:pPr>
        <w:pStyle w:val="Figure"/>
      </w:pPr>
      <w:r w:rsidRPr="00203192">
        <w:t xml:space="preserve"> </w:t>
      </w:r>
      <w:r w:rsidR="002B0907" w:rsidRPr="002B0907">
        <w:t>Picture of Spar Buoy and Articulated beacon(IALA Guideline 1099)</w:t>
      </w:r>
    </w:p>
    <w:p w14:paraId="4E317894" w14:textId="02226588" w:rsidR="00203192" w:rsidRPr="007A395D" w:rsidRDefault="00203192" w:rsidP="00203192">
      <w:pPr>
        <w:pStyle w:val="Figure"/>
        <w:numPr>
          <w:ilvl w:val="0"/>
          <w:numId w:val="0"/>
        </w:numPr>
        <w:ind w:left="1134"/>
        <w:jc w:val="left"/>
      </w:pPr>
    </w:p>
    <w:p w14:paraId="78E01A45" w14:textId="147E890E" w:rsidR="00203192" w:rsidRPr="00C759E8" w:rsidRDefault="00C759E8" w:rsidP="00203192">
      <w:pPr>
        <w:pStyle w:val="BodyText"/>
        <w:rPr>
          <w:lang w:val="en-US"/>
        </w:rPr>
      </w:pPr>
      <w:r w:rsidRPr="00C759E8">
        <w:t xml:space="preserve">According to S-4(Regulations of the IHO for International Charts and Chart Specifications of the IHO, July 2017), the Spar Buoy and Buoyant beacon stipulated to be marked with another symbol. However, Spar Buoy and Articulated beacon are same to floating method on the </w:t>
      </w:r>
      <w:proofErr w:type="gramStart"/>
      <w:r w:rsidRPr="00C759E8">
        <w:t>marine(</w:t>
      </w:r>
      <w:proofErr w:type="gramEnd"/>
      <w:r w:rsidRPr="00C759E8">
        <w:t>sinker, mooring method, floating body).</w:t>
      </w:r>
    </w:p>
    <w:p w14:paraId="18D28534" w14:textId="5858D5E0" w:rsidR="003A1F7C" w:rsidRDefault="003A1F7C" w:rsidP="00203192">
      <w:pPr>
        <w:pStyle w:val="BodyText"/>
      </w:pPr>
    </w:p>
    <w:p w14:paraId="63F7B13D" w14:textId="04AE4CDA" w:rsidR="002B0907" w:rsidRPr="002B0907" w:rsidRDefault="002B0907" w:rsidP="002B0907">
      <w:pPr>
        <w:pStyle w:val="BodyText"/>
        <w:jc w:val="center"/>
        <w:rPr>
          <w:lang w:val="en-US"/>
        </w:rPr>
      </w:pPr>
      <w:r w:rsidRPr="002B0907">
        <w:rPr>
          <w:rFonts w:hint="eastAsia"/>
          <w:lang w:val="en-US"/>
        </w:rPr>
        <w:t xml:space="preserve">(Buoy: </w:t>
      </w:r>
      <w:r w:rsidRPr="002B0907">
        <w:rPr>
          <w:noProof/>
          <w:lang w:val="en-IE" w:eastAsia="en-IE"/>
        </w:rPr>
        <w:drawing>
          <wp:inline distT="0" distB="0" distL="0" distR="0" wp14:anchorId="55023F4D" wp14:editId="207A08BF">
            <wp:extent cx="247650" cy="285750"/>
            <wp:effectExtent l="0" t="0" r="0" b="0"/>
            <wp:docPr id="15" name="그림 15" descr="EMB000029f036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176" descr="EMB000029f0364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(Spar Buoy: </w:t>
      </w:r>
      <w:r w:rsidRPr="002B0907">
        <w:rPr>
          <w:noProof/>
          <w:lang w:val="en-IE" w:eastAsia="en-IE"/>
        </w:rPr>
        <w:drawing>
          <wp:inline distT="0" distB="0" distL="0" distR="0" wp14:anchorId="524359D8" wp14:editId="5A74E552">
            <wp:extent cx="247650" cy="285750"/>
            <wp:effectExtent l="0" t="0" r="0" b="0"/>
            <wp:docPr id="14" name="그림 14" descr="EMB000029f03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336" descr="EMB000029f036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(Buoyant Beacon: </w:t>
      </w:r>
      <w:r w:rsidRPr="002B0907">
        <w:rPr>
          <w:noProof/>
          <w:lang w:val="en-IE" w:eastAsia="en-IE"/>
        </w:rPr>
        <w:drawing>
          <wp:inline distT="0" distB="0" distL="0" distR="0" wp14:anchorId="7CDA8A62" wp14:editId="53C1D5DF">
            <wp:extent cx="247650" cy="285750"/>
            <wp:effectExtent l="0" t="0" r="0" b="0"/>
            <wp:docPr id="7" name="그림 7" descr="EMB000029f0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1856" descr="EMB000029f036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(Beacon: </w:t>
      </w:r>
      <w:r w:rsidRPr="002B0907">
        <w:rPr>
          <w:noProof/>
          <w:lang w:val="en-IE" w:eastAsia="en-IE"/>
        </w:rPr>
        <w:drawing>
          <wp:inline distT="0" distB="0" distL="0" distR="0" wp14:anchorId="66FBC66A" wp14:editId="147D964F">
            <wp:extent cx="247650" cy="285750"/>
            <wp:effectExtent l="0" t="0" r="0" b="0"/>
            <wp:docPr id="6" name="그림 6" descr="EMB000029f0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2896" descr="EMB000029f036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w:t>
      </w:r>
    </w:p>
    <w:p w14:paraId="4EC70E60" w14:textId="3E359233" w:rsidR="003A1F7C" w:rsidRPr="00203192" w:rsidRDefault="002B0907" w:rsidP="002B0907">
      <w:pPr>
        <w:pStyle w:val="Figure"/>
      </w:pPr>
      <w:r w:rsidRPr="002B0907">
        <w:t>Method of indication of IHO nautical chart for AtoN</w:t>
      </w:r>
    </w:p>
    <w:p w14:paraId="6311EA55" w14:textId="4E3B5A72" w:rsidR="003A1F7C" w:rsidRPr="003A1F7C" w:rsidRDefault="003A1F7C" w:rsidP="00203192">
      <w:pPr>
        <w:pStyle w:val="BodyText"/>
        <w:rPr>
          <w:lang w:val="en-US"/>
        </w:rPr>
      </w:pPr>
    </w:p>
    <w:p w14:paraId="4CB5BD26" w14:textId="45039F15" w:rsidR="003A1F7C" w:rsidRPr="002B0907" w:rsidRDefault="002B0907" w:rsidP="003A1F7C">
      <w:pPr>
        <w:pStyle w:val="BodyText"/>
        <w:rPr>
          <w:lang w:val="en-US"/>
        </w:rPr>
      </w:pPr>
      <w:r w:rsidRPr="002B0907">
        <w:rPr>
          <w:lang w:val="en-US"/>
        </w:rPr>
        <w:t xml:space="preserve">According to experts and industry catalog in AtoN field, They expressed the opinion that it is appropriate to use Spar Buoy and Articulated </w:t>
      </w:r>
      <w:proofErr w:type="gramStart"/>
      <w:r w:rsidRPr="002B0907">
        <w:rPr>
          <w:lang w:val="en-US"/>
        </w:rPr>
        <w:t>beacon(</w:t>
      </w:r>
      <w:proofErr w:type="gramEnd"/>
      <w:r w:rsidRPr="002B0907">
        <w:rPr>
          <w:lang w:val="en-US"/>
        </w:rPr>
        <w:t>Buoyant beacon) as the same concept.</w:t>
      </w:r>
    </w:p>
    <w:p w14:paraId="1BF22D4A" w14:textId="3BB85443" w:rsidR="003A1F7C" w:rsidRPr="003A1F7C" w:rsidRDefault="002B0907" w:rsidP="003A1F7C">
      <w:pPr>
        <w:pStyle w:val="BodyText"/>
        <w:rPr>
          <w:lang w:val="en-US"/>
        </w:rPr>
      </w:pPr>
      <w:r w:rsidRPr="002B0907">
        <w:rPr>
          <w:lang w:val="en-US"/>
        </w:rPr>
        <w:t xml:space="preserve">Recently IALA was discussed the need for close cooperation between IALA and IHO for the unity of marked nautical chart of AtoN at the IALA AIS workshop held in </w:t>
      </w:r>
      <w:proofErr w:type="gramStart"/>
      <w:r w:rsidRPr="002B0907">
        <w:rPr>
          <w:lang w:val="en-US"/>
        </w:rPr>
        <w:t>Seoul(</w:t>
      </w:r>
      <w:proofErr w:type="gramEnd"/>
      <w:r w:rsidRPr="002B0907">
        <w:rPr>
          <w:lang w:val="en-US"/>
        </w:rPr>
        <w:t>Oct. 2016).</w:t>
      </w:r>
      <w:r w:rsidR="003A1F7C" w:rsidRPr="003A1F7C">
        <w:rPr>
          <w:lang w:val="en-US"/>
        </w:rPr>
        <w:t xml:space="preserve"> </w:t>
      </w:r>
    </w:p>
    <w:p w14:paraId="760548C0" w14:textId="43846A1B" w:rsidR="00203192" w:rsidRPr="002B0907" w:rsidRDefault="002B0907" w:rsidP="003A1F7C">
      <w:pPr>
        <w:pStyle w:val="BodyText"/>
        <w:rPr>
          <w:lang w:val="en-US"/>
        </w:rPr>
      </w:pPr>
      <w:r w:rsidRPr="002B0907">
        <w:rPr>
          <w:lang w:val="en-US"/>
        </w:rPr>
        <w:t>In order to avoid confusion about the use of terms for similar AtoN, it should be clarify using terminology.</w:t>
      </w:r>
    </w:p>
    <w:p w14:paraId="7723D0F6" w14:textId="77777777" w:rsidR="00B60428" w:rsidRPr="00203192" w:rsidRDefault="00B60428" w:rsidP="00B60428">
      <w:pPr>
        <w:pStyle w:val="a"/>
        <w:wordWrap/>
        <w:spacing w:line="360" w:lineRule="auto"/>
        <w:jc w:val="center"/>
      </w:pPr>
    </w:p>
    <w:p w14:paraId="40CBBC19" w14:textId="70BD1713" w:rsidR="00F25BF4" w:rsidRPr="00B60428" w:rsidRDefault="00F25BF4" w:rsidP="00F36489">
      <w:pPr>
        <w:pStyle w:val="BodyText"/>
        <w:rPr>
          <w:lang w:val="en-US"/>
        </w:rPr>
      </w:pPr>
    </w:p>
    <w:p w14:paraId="7A8D2F27" w14:textId="77777777" w:rsidR="00A446C9" w:rsidRPr="007A395D" w:rsidRDefault="00A446C9" w:rsidP="00605E43">
      <w:pPr>
        <w:pStyle w:val="Heading1"/>
      </w:pPr>
      <w:r w:rsidRPr="007A395D">
        <w:t>Action requested of the Committee</w:t>
      </w:r>
    </w:p>
    <w:p w14:paraId="16AE6650" w14:textId="77DC74A4" w:rsidR="004D1D85" w:rsidRPr="00185E9E" w:rsidRDefault="00F25BF4" w:rsidP="00185E9E">
      <w:pPr>
        <w:pStyle w:val="BodyText"/>
      </w:pPr>
      <w:r w:rsidRPr="007A395D">
        <w:t xml:space="preserve">The </w:t>
      </w:r>
      <w:r w:rsidR="00185E9E">
        <w:t xml:space="preserve">Committee is requested to </w:t>
      </w:r>
      <w:r w:rsidR="003A1F7C" w:rsidRPr="003A1F7C">
        <w:t>review of this document</w:t>
      </w:r>
      <w:bookmarkStart w:id="0" w:name="_GoBack"/>
      <w:bookmarkEnd w:id="0"/>
      <w:r w:rsidR="003A1F7C" w:rsidRPr="003A1F7C">
        <w:t>.</w:t>
      </w:r>
    </w:p>
    <w:sectPr w:rsidR="004D1D85" w:rsidRPr="00185E9E"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17F61" w14:textId="77777777" w:rsidR="00C22199" w:rsidRDefault="00C22199" w:rsidP="00362CD9">
      <w:r>
        <w:separator/>
      </w:r>
    </w:p>
    <w:p w14:paraId="341072AC" w14:textId="77777777" w:rsidR="00C22199" w:rsidRDefault="00C22199"/>
    <w:p w14:paraId="760C006E" w14:textId="77777777" w:rsidR="00C22199" w:rsidRDefault="00C22199"/>
  </w:endnote>
  <w:endnote w:type="continuationSeparator" w:id="0">
    <w:p w14:paraId="5F86559F" w14:textId="77777777" w:rsidR="00C22199" w:rsidRDefault="00C22199" w:rsidP="00362CD9">
      <w:r>
        <w:continuationSeparator/>
      </w:r>
    </w:p>
    <w:p w14:paraId="3F8FAC33" w14:textId="77777777" w:rsidR="00C22199" w:rsidRDefault="00C22199"/>
    <w:p w14:paraId="05CDE88A" w14:textId="77777777" w:rsidR="00C22199" w:rsidRDefault="00C22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97E2678" w:rsidR="004D4B1B" w:rsidRPr="00036B9E" w:rsidRDefault="004F2B8F">
    <w:pPr>
      <w:pStyle w:val="Footer"/>
      <w:rPr>
        <w:rFonts w:ascii="Calibri" w:hAnsi="Calibri"/>
      </w:rPr>
    </w:pPr>
    <w:r w:rsidRPr="00363F71">
      <w:rPr>
        <w:rFonts w:ascii="Calibri" w:hAnsi="Calibri"/>
        <w:spacing w:val="-8"/>
        <w:sz w:val="20"/>
        <w:szCs w:val="20"/>
      </w:rPr>
      <w:t>Uniformity of terminology for Spar Buoy and Buoyant Beacon</w:t>
    </w:r>
    <w:r>
      <w:rPr>
        <w:rFonts w:ascii="Calibri" w:hAnsi="Calibri"/>
        <w:sz w:val="20"/>
        <w:szCs w:val="20"/>
      </w:rPr>
      <w:ptab w:relativeTo="margin" w:alignment="center" w:leader="none"/>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185E9E">
      <w:rPr>
        <w:rFonts w:ascii="Calibri" w:hAnsi="Calibri"/>
        <w:noProof/>
      </w:rPr>
      <w:t>2</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37714" w14:textId="77777777" w:rsidR="00C22199" w:rsidRDefault="00C22199" w:rsidP="00362CD9">
      <w:r>
        <w:separator/>
      </w:r>
    </w:p>
    <w:p w14:paraId="3D4BEF51" w14:textId="77777777" w:rsidR="00C22199" w:rsidRDefault="00C22199"/>
    <w:p w14:paraId="2528C0FB" w14:textId="77777777" w:rsidR="00C22199" w:rsidRDefault="00C22199"/>
  </w:footnote>
  <w:footnote w:type="continuationSeparator" w:id="0">
    <w:p w14:paraId="7B41E491" w14:textId="77777777" w:rsidR="00C22199" w:rsidRDefault="00C22199" w:rsidP="00362CD9">
      <w:r>
        <w:continuationSeparator/>
      </w:r>
    </w:p>
    <w:p w14:paraId="29EA8391" w14:textId="77777777" w:rsidR="00C22199" w:rsidRDefault="00C22199"/>
    <w:p w14:paraId="24C612F1" w14:textId="77777777" w:rsidR="00C22199" w:rsidRDefault="00C22199"/>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C2219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10AEFE6F">
          <wp:simplePos x="0" y="0"/>
          <wp:positionH relativeFrom="column">
            <wp:posOffset>2637155</wp:posOffset>
          </wp:positionH>
          <wp:positionV relativeFrom="paragraph">
            <wp:posOffset>-404177</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2219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C2219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6D44"/>
    <w:rsid w:val="00036B9E"/>
    <w:rsid w:val="00037DF4"/>
    <w:rsid w:val="0004700E"/>
    <w:rsid w:val="00047287"/>
    <w:rsid w:val="00060014"/>
    <w:rsid w:val="00070C13"/>
    <w:rsid w:val="000715C9"/>
    <w:rsid w:val="00084F33"/>
    <w:rsid w:val="000A77A7"/>
    <w:rsid w:val="000B1707"/>
    <w:rsid w:val="000C1B3E"/>
    <w:rsid w:val="0010585B"/>
    <w:rsid w:val="00110AE7"/>
    <w:rsid w:val="00127DB0"/>
    <w:rsid w:val="00137240"/>
    <w:rsid w:val="00177F4D"/>
    <w:rsid w:val="00180DDA"/>
    <w:rsid w:val="00185E9E"/>
    <w:rsid w:val="001B2A2D"/>
    <w:rsid w:val="001B737D"/>
    <w:rsid w:val="001C44A3"/>
    <w:rsid w:val="001C7BE2"/>
    <w:rsid w:val="001E0E15"/>
    <w:rsid w:val="001F528A"/>
    <w:rsid w:val="001F704E"/>
    <w:rsid w:val="00201722"/>
    <w:rsid w:val="00203192"/>
    <w:rsid w:val="002125B0"/>
    <w:rsid w:val="00243228"/>
    <w:rsid w:val="00251483"/>
    <w:rsid w:val="00255CAA"/>
    <w:rsid w:val="002608E2"/>
    <w:rsid w:val="00264305"/>
    <w:rsid w:val="00265CED"/>
    <w:rsid w:val="002771FE"/>
    <w:rsid w:val="002A0346"/>
    <w:rsid w:val="002A4487"/>
    <w:rsid w:val="002B0907"/>
    <w:rsid w:val="002B49E9"/>
    <w:rsid w:val="002C632E"/>
    <w:rsid w:val="002D3E8B"/>
    <w:rsid w:val="002D4575"/>
    <w:rsid w:val="002D5C0C"/>
    <w:rsid w:val="002E03D1"/>
    <w:rsid w:val="002E6B74"/>
    <w:rsid w:val="002E6FCA"/>
    <w:rsid w:val="002F59C3"/>
    <w:rsid w:val="003336CC"/>
    <w:rsid w:val="00356CD0"/>
    <w:rsid w:val="00362CD9"/>
    <w:rsid w:val="00363F71"/>
    <w:rsid w:val="003761CA"/>
    <w:rsid w:val="00380DAF"/>
    <w:rsid w:val="003972CE"/>
    <w:rsid w:val="003A1F7C"/>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4F2B8F"/>
    <w:rsid w:val="005107EB"/>
    <w:rsid w:val="00521345"/>
    <w:rsid w:val="00526DF0"/>
    <w:rsid w:val="00545CC4"/>
    <w:rsid w:val="00551FFF"/>
    <w:rsid w:val="005607A2"/>
    <w:rsid w:val="00561B80"/>
    <w:rsid w:val="005622DA"/>
    <w:rsid w:val="0057198B"/>
    <w:rsid w:val="00573CFE"/>
    <w:rsid w:val="005969F2"/>
    <w:rsid w:val="00597FAE"/>
    <w:rsid w:val="005B32A3"/>
    <w:rsid w:val="005B7A6E"/>
    <w:rsid w:val="005C0D44"/>
    <w:rsid w:val="005C566C"/>
    <w:rsid w:val="005C7E69"/>
    <w:rsid w:val="005D4961"/>
    <w:rsid w:val="005E262D"/>
    <w:rsid w:val="005F23D3"/>
    <w:rsid w:val="005F3F3D"/>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2FC"/>
    <w:rsid w:val="00783FE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93910"/>
    <w:rsid w:val="009B5263"/>
    <w:rsid w:val="00A0389B"/>
    <w:rsid w:val="00A33AE9"/>
    <w:rsid w:val="00A35999"/>
    <w:rsid w:val="00A446C9"/>
    <w:rsid w:val="00A623BD"/>
    <w:rsid w:val="00A635D6"/>
    <w:rsid w:val="00A8553A"/>
    <w:rsid w:val="00A930C1"/>
    <w:rsid w:val="00A93AED"/>
    <w:rsid w:val="00AE1319"/>
    <w:rsid w:val="00AE144D"/>
    <w:rsid w:val="00AE34BB"/>
    <w:rsid w:val="00B226F2"/>
    <w:rsid w:val="00B22F01"/>
    <w:rsid w:val="00B274DF"/>
    <w:rsid w:val="00B56BDF"/>
    <w:rsid w:val="00B60428"/>
    <w:rsid w:val="00B65812"/>
    <w:rsid w:val="00B85CD6"/>
    <w:rsid w:val="00B90A27"/>
    <w:rsid w:val="00B9554D"/>
    <w:rsid w:val="00BB2B9F"/>
    <w:rsid w:val="00BB7D9E"/>
    <w:rsid w:val="00BC2334"/>
    <w:rsid w:val="00BD3CB8"/>
    <w:rsid w:val="00BD4E6F"/>
    <w:rsid w:val="00BF32F0"/>
    <w:rsid w:val="00BF4DCE"/>
    <w:rsid w:val="00C05CE5"/>
    <w:rsid w:val="00C22199"/>
    <w:rsid w:val="00C6171E"/>
    <w:rsid w:val="00C759E8"/>
    <w:rsid w:val="00CA6F2C"/>
    <w:rsid w:val="00CB2787"/>
    <w:rsid w:val="00CC2DCC"/>
    <w:rsid w:val="00CC7125"/>
    <w:rsid w:val="00CF1871"/>
    <w:rsid w:val="00D019CE"/>
    <w:rsid w:val="00D1133E"/>
    <w:rsid w:val="00D12F4E"/>
    <w:rsid w:val="00D17A34"/>
    <w:rsid w:val="00D26628"/>
    <w:rsid w:val="00D332B3"/>
    <w:rsid w:val="00D55207"/>
    <w:rsid w:val="00D55B61"/>
    <w:rsid w:val="00D81801"/>
    <w:rsid w:val="00D92B45"/>
    <w:rsid w:val="00D95962"/>
    <w:rsid w:val="00DC389B"/>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a">
    <w:name w:val="바탕글"/>
    <w:basedOn w:val="Normal"/>
    <w:rsid w:val="00B60428"/>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352">
      <w:bodyDiv w:val="1"/>
      <w:marLeft w:val="0"/>
      <w:marRight w:val="0"/>
      <w:marTop w:val="0"/>
      <w:marBottom w:val="0"/>
      <w:divBdr>
        <w:top w:val="none" w:sz="0" w:space="0" w:color="auto"/>
        <w:left w:val="none" w:sz="0" w:space="0" w:color="auto"/>
        <w:bottom w:val="none" w:sz="0" w:space="0" w:color="auto"/>
        <w:right w:val="none" w:sz="0" w:space="0" w:color="auto"/>
      </w:divBdr>
    </w:div>
    <w:div w:id="76757247">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7480224">
      <w:bodyDiv w:val="1"/>
      <w:marLeft w:val="0"/>
      <w:marRight w:val="0"/>
      <w:marTop w:val="0"/>
      <w:marBottom w:val="0"/>
      <w:divBdr>
        <w:top w:val="none" w:sz="0" w:space="0" w:color="auto"/>
        <w:left w:val="none" w:sz="0" w:space="0" w:color="auto"/>
        <w:bottom w:val="none" w:sz="0" w:space="0" w:color="auto"/>
        <w:right w:val="none" w:sz="0" w:space="0" w:color="auto"/>
      </w:divBdr>
    </w:div>
    <w:div w:id="365106086">
      <w:bodyDiv w:val="1"/>
      <w:marLeft w:val="0"/>
      <w:marRight w:val="0"/>
      <w:marTop w:val="0"/>
      <w:marBottom w:val="0"/>
      <w:divBdr>
        <w:top w:val="none" w:sz="0" w:space="0" w:color="auto"/>
        <w:left w:val="none" w:sz="0" w:space="0" w:color="auto"/>
        <w:bottom w:val="none" w:sz="0" w:space="0" w:color="auto"/>
        <w:right w:val="none" w:sz="0" w:space="0" w:color="auto"/>
      </w:divBdr>
    </w:div>
    <w:div w:id="366176105">
      <w:bodyDiv w:val="1"/>
      <w:marLeft w:val="0"/>
      <w:marRight w:val="0"/>
      <w:marTop w:val="0"/>
      <w:marBottom w:val="0"/>
      <w:divBdr>
        <w:top w:val="none" w:sz="0" w:space="0" w:color="auto"/>
        <w:left w:val="none" w:sz="0" w:space="0" w:color="auto"/>
        <w:bottom w:val="none" w:sz="0" w:space="0" w:color="auto"/>
        <w:right w:val="none" w:sz="0" w:space="0" w:color="auto"/>
      </w:divBdr>
    </w:div>
    <w:div w:id="410202343">
      <w:bodyDiv w:val="1"/>
      <w:marLeft w:val="0"/>
      <w:marRight w:val="0"/>
      <w:marTop w:val="0"/>
      <w:marBottom w:val="0"/>
      <w:divBdr>
        <w:top w:val="none" w:sz="0" w:space="0" w:color="auto"/>
        <w:left w:val="none" w:sz="0" w:space="0" w:color="auto"/>
        <w:bottom w:val="none" w:sz="0" w:space="0" w:color="auto"/>
        <w:right w:val="none" w:sz="0" w:space="0" w:color="auto"/>
      </w:divBdr>
    </w:div>
    <w:div w:id="518355202">
      <w:bodyDiv w:val="1"/>
      <w:marLeft w:val="0"/>
      <w:marRight w:val="0"/>
      <w:marTop w:val="0"/>
      <w:marBottom w:val="0"/>
      <w:divBdr>
        <w:top w:val="none" w:sz="0" w:space="0" w:color="auto"/>
        <w:left w:val="none" w:sz="0" w:space="0" w:color="auto"/>
        <w:bottom w:val="none" w:sz="0" w:space="0" w:color="auto"/>
        <w:right w:val="none" w:sz="0" w:space="0" w:color="auto"/>
      </w:divBdr>
    </w:div>
    <w:div w:id="618952084">
      <w:bodyDiv w:val="1"/>
      <w:marLeft w:val="0"/>
      <w:marRight w:val="0"/>
      <w:marTop w:val="0"/>
      <w:marBottom w:val="0"/>
      <w:divBdr>
        <w:top w:val="none" w:sz="0" w:space="0" w:color="auto"/>
        <w:left w:val="none" w:sz="0" w:space="0" w:color="auto"/>
        <w:bottom w:val="none" w:sz="0" w:space="0" w:color="auto"/>
        <w:right w:val="none" w:sz="0" w:space="0" w:color="auto"/>
      </w:divBdr>
    </w:div>
    <w:div w:id="630399394">
      <w:bodyDiv w:val="1"/>
      <w:marLeft w:val="0"/>
      <w:marRight w:val="0"/>
      <w:marTop w:val="0"/>
      <w:marBottom w:val="0"/>
      <w:divBdr>
        <w:top w:val="none" w:sz="0" w:space="0" w:color="auto"/>
        <w:left w:val="none" w:sz="0" w:space="0" w:color="auto"/>
        <w:bottom w:val="none" w:sz="0" w:space="0" w:color="auto"/>
        <w:right w:val="none" w:sz="0" w:space="0" w:color="auto"/>
      </w:divBdr>
    </w:div>
    <w:div w:id="691539630">
      <w:bodyDiv w:val="1"/>
      <w:marLeft w:val="0"/>
      <w:marRight w:val="0"/>
      <w:marTop w:val="0"/>
      <w:marBottom w:val="0"/>
      <w:divBdr>
        <w:top w:val="none" w:sz="0" w:space="0" w:color="auto"/>
        <w:left w:val="none" w:sz="0" w:space="0" w:color="auto"/>
        <w:bottom w:val="none" w:sz="0" w:space="0" w:color="auto"/>
        <w:right w:val="none" w:sz="0" w:space="0" w:color="auto"/>
      </w:divBdr>
    </w:div>
    <w:div w:id="707804461">
      <w:bodyDiv w:val="1"/>
      <w:marLeft w:val="0"/>
      <w:marRight w:val="0"/>
      <w:marTop w:val="0"/>
      <w:marBottom w:val="0"/>
      <w:divBdr>
        <w:top w:val="none" w:sz="0" w:space="0" w:color="auto"/>
        <w:left w:val="none" w:sz="0" w:space="0" w:color="auto"/>
        <w:bottom w:val="none" w:sz="0" w:space="0" w:color="auto"/>
        <w:right w:val="none" w:sz="0" w:space="0" w:color="auto"/>
      </w:divBdr>
    </w:div>
    <w:div w:id="712967001">
      <w:bodyDiv w:val="1"/>
      <w:marLeft w:val="0"/>
      <w:marRight w:val="0"/>
      <w:marTop w:val="0"/>
      <w:marBottom w:val="0"/>
      <w:divBdr>
        <w:top w:val="none" w:sz="0" w:space="0" w:color="auto"/>
        <w:left w:val="none" w:sz="0" w:space="0" w:color="auto"/>
        <w:bottom w:val="none" w:sz="0" w:space="0" w:color="auto"/>
        <w:right w:val="none" w:sz="0" w:space="0" w:color="auto"/>
      </w:divBdr>
    </w:div>
    <w:div w:id="727146793">
      <w:bodyDiv w:val="1"/>
      <w:marLeft w:val="0"/>
      <w:marRight w:val="0"/>
      <w:marTop w:val="0"/>
      <w:marBottom w:val="0"/>
      <w:divBdr>
        <w:top w:val="none" w:sz="0" w:space="0" w:color="auto"/>
        <w:left w:val="none" w:sz="0" w:space="0" w:color="auto"/>
        <w:bottom w:val="none" w:sz="0" w:space="0" w:color="auto"/>
        <w:right w:val="none" w:sz="0" w:space="0" w:color="auto"/>
      </w:divBdr>
    </w:div>
    <w:div w:id="854463185">
      <w:bodyDiv w:val="1"/>
      <w:marLeft w:val="0"/>
      <w:marRight w:val="0"/>
      <w:marTop w:val="0"/>
      <w:marBottom w:val="0"/>
      <w:divBdr>
        <w:top w:val="none" w:sz="0" w:space="0" w:color="auto"/>
        <w:left w:val="none" w:sz="0" w:space="0" w:color="auto"/>
        <w:bottom w:val="none" w:sz="0" w:space="0" w:color="auto"/>
        <w:right w:val="none" w:sz="0" w:space="0" w:color="auto"/>
      </w:divBdr>
    </w:div>
    <w:div w:id="864682812">
      <w:bodyDiv w:val="1"/>
      <w:marLeft w:val="0"/>
      <w:marRight w:val="0"/>
      <w:marTop w:val="0"/>
      <w:marBottom w:val="0"/>
      <w:divBdr>
        <w:top w:val="none" w:sz="0" w:space="0" w:color="auto"/>
        <w:left w:val="none" w:sz="0" w:space="0" w:color="auto"/>
        <w:bottom w:val="none" w:sz="0" w:space="0" w:color="auto"/>
        <w:right w:val="none" w:sz="0" w:space="0" w:color="auto"/>
      </w:divBdr>
    </w:div>
    <w:div w:id="1034233282">
      <w:bodyDiv w:val="1"/>
      <w:marLeft w:val="0"/>
      <w:marRight w:val="0"/>
      <w:marTop w:val="0"/>
      <w:marBottom w:val="0"/>
      <w:divBdr>
        <w:top w:val="none" w:sz="0" w:space="0" w:color="auto"/>
        <w:left w:val="none" w:sz="0" w:space="0" w:color="auto"/>
        <w:bottom w:val="none" w:sz="0" w:space="0" w:color="auto"/>
        <w:right w:val="none" w:sz="0" w:space="0" w:color="auto"/>
      </w:divBdr>
    </w:div>
    <w:div w:id="1092319688">
      <w:bodyDiv w:val="1"/>
      <w:marLeft w:val="0"/>
      <w:marRight w:val="0"/>
      <w:marTop w:val="0"/>
      <w:marBottom w:val="0"/>
      <w:divBdr>
        <w:top w:val="none" w:sz="0" w:space="0" w:color="auto"/>
        <w:left w:val="none" w:sz="0" w:space="0" w:color="auto"/>
        <w:bottom w:val="none" w:sz="0" w:space="0" w:color="auto"/>
        <w:right w:val="none" w:sz="0" w:space="0" w:color="auto"/>
      </w:divBdr>
    </w:div>
    <w:div w:id="1112434247">
      <w:bodyDiv w:val="1"/>
      <w:marLeft w:val="0"/>
      <w:marRight w:val="0"/>
      <w:marTop w:val="0"/>
      <w:marBottom w:val="0"/>
      <w:divBdr>
        <w:top w:val="none" w:sz="0" w:space="0" w:color="auto"/>
        <w:left w:val="none" w:sz="0" w:space="0" w:color="auto"/>
        <w:bottom w:val="none" w:sz="0" w:space="0" w:color="auto"/>
        <w:right w:val="none" w:sz="0" w:space="0" w:color="auto"/>
      </w:divBdr>
    </w:div>
    <w:div w:id="1115178933">
      <w:bodyDiv w:val="1"/>
      <w:marLeft w:val="0"/>
      <w:marRight w:val="0"/>
      <w:marTop w:val="0"/>
      <w:marBottom w:val="0"/>
      <w:divBdr>
        <w:top w:val="none" w:sz="0" w:space="0" w:color="auto"/>
        <w:left w:val="none" w:sz="0" w:space="0" w:color="auto"/>
        <w:bottom w:val="none" w:sz="0" w:space="0" w:color="auto"/>
        <w:right w:val="none" w:sz="0" w:space="0" w:color="auto"/>
      </w:divBdr>
    </w:div>
    <w:div w:id="1169061703">
      <w:bodyDiv w:val="1"/>
      <w:marLeft w:val="0"/>
      <w:marRight w:val="0"/>
      <w:marTop w:val="0"/>
      <w:marBottom w:val="0"/>
      <w:divBdr>
        <w:top w:val="none" w:sz="0" w:space="0" w:color="auto"/>
        <w:left w:val="none" w:sz="0" w:space="0" w:color="auto"/>
        <w:bottom w:val="none" w:sz="0" w:space="0" w:color="auto"/>
        <w:right w:val="none" w:sz="0" w:space="0" w:color="auto"/>
      </w:divBdr>
    </w:div>
    <w:div w:id="1218862265">
      <w:bodyDiv w:val="1"/>
      <w:marLeft w:val="0"/>
      <w:marRight w:val="0"/>
      <w:marTop w:val="0"/>
      <w:marBottom w:val="0"/>
      <w:divBdr>
        <w:top w:val="none" w:sz="0" w:space="0" w:color="auto"/>
        <w:left w:val="none" w:sz="0" w:space="0" w:color="auto"/>
        <w:bottom w:val="none" w:sz="0" w:space="0" w:color="auto"/>
        <w:right w:val="none" w:sz="0" w:space="0" w:color="auto"/>
      </w:divBdr>
    </w:div>
    <w:div w:id="1326282850">
      <w:bodyDiv w:val="1"/>
      <w:marLeft w:val="0"/>
      <w:marRight w:val="0"/>
      <w:marTop w:val="0"/>
      <w:marBottom w:val="0"/>
      <w:divBdr>
        <w:top w:val="none" w:sz="0" w:space="0" w:color="auto"/>
        <w:left w:val="none" w:sz="0" w:space="0" w:color="auto"/>
        <w:bottom w:val="none" w:sz="0" w:space="0" w:color="auto"/>
        <w:right w:val="none" w:sz="0" w:space="0" w:color="auto"/>
      </w:divBdr>
    </w:div>
    <w:div w:id="1337879425">
      <w:bodyDiv w:val="1"/>
      <w:marLeft w:val="0"/>
      <w:marRight w:val="0"/>
      <w:marTop w:val="0"/>
      <w:marBottom w:val="0"/>
      <w:divBdr>
        <w:top w:val="none" w:sz="0" w:space="0" w:color="auto"/>
        <w:left w:val="none" w:sz="0" w:space="0" w:color="auto"/>
        <w:bottom w:val="none" w:sz="0" w:space="0" w:color="auto"/>
        <w:right w:val="none" w:sz="0" w:space="0" w:color="auto"/>
      </w:divBdr>
    </w:div>
    <w:div w:id="1343507713">
      <w:bodyDiv w:val="1"/>
      <w:marLeft w:val="0"/>
      <w:marRight w:val="0"/>
      <w:marTop w:val="0"/>
      <w:marBottom w:val="0"/>
      <w:divBdr>
        <w:top w:val="none" w:sz="0" w:space="0" w:color="auto"/>
        <w:left w:val="none" w:sz="0" w:space="0" w:color="auto"/>
        <w:bottom w:val="none" w:sz="0" w:space="0" w:color="auto"/>
        <w:right w:val="none" w:sz="0" w:space="0" w:color="auto"/>
      </w:divBdr>
    </w:div>
    <w:div w:id="1353264758">
      <w:bodyDiv w:val="1"/>
      <w:marLeft w:val="0"/>
      <w:marRight w:val="0"/>
      <w:marTop w:val="0"/>
      <w:marBottom w:val="0"/>
      <w:divBdr>
        <w:top w:val="none" w:sz="0" w:space="0" w:color="auto"/>
        <w:left w:val="none" w:sz="0" w:space="0" w:color="auto"/>
        <w:bottom w:val="none" w:sz="0" w:space="0" w:color="auto"/>
        <w:right w:val="none" w:sz="0" w:space="0" w:color="auto"/>
      </w:divBdr>
    </w:div>
    <w:div w:id="1401171443">
      <w:bodyDiv w:val="1"/>
      <w:marLeft w:val="0"/>
      <w:marRight w:val="0"/>
      <w:marTop w:val="0"/>
      <w:marBottom w:val="0"/>
      <w:divBdr>
        <w:top w:val="none" w:sz="0" w:space="0" w:color="auto"/>
        <w:left w:val="none" w:sz="0" w:space="0" w:color="auto"/>
        <w:bottom w:val="none" w:sz="0" w:space="0" w:color="auto"/>
        <w:right w:val="none" w:sz="0" w:space="0" w:color="auto"/>
      </w:divBdr>
    </w:div>
    <w:div w:id="1440684689">
      <w:bodyDiv w:val="1"/>
      <w:marLeft w:val="0"/>
      <w:marRight w:val="0"/>
      <w:marTop w:val="0"/>
      <w:marBottom w:val="0"/>
      <w:divBdr>
        <w:top w:val="none" w:sz="0" w:space="0" w:color="auto"/>
        <w:left w:val="none" w:sz="0" w:space="0" w:color="auto"/>
        <w:bottom w:val="none" w:sz="0" w:space="0" w:color="auto"/>
        <w:right w:val="none" w:sz="0" w:space="0" w:color="auto"/>
      </w:divBdr>
    </w:div>
    <w:div w:id="1462193272">
      <w:bodyDiv w:val="1"/>
      <w:marLeft w:val="0"/>
      <w:marRight w:val="0"/>
      <w:marTop w:val="0"/>
      <w:marBottom w:val="0"/>
      <w:divBdr>
        <w:top w:val="none" w:sz="0" w:space="0" w:color="auto"/>
        <w:left w:val="none" w:sz="0" w:space="0" w:color="auto"/>
        <w:bottom w:val="none" w:sz="0" w:space="0" w:color="auto"/>
        <w:right w:val="none" w:sz="0" w:space="0" w:color="auto"/>
      </w:divBdr>
    </w:div>
    <w:div w:id="1470053609">
      <w:bodyDiv w:val="1"/>
      <w:marLeft w:val="0"/>
      <w:marRight w:val="0"/>
      <w:marTop w:val="0"/>
      <w:marBottom w:val="0"/>
      <w:divBdr>
        <w:top w:val="none" w:sz="0" w:space="0" w:color="auto"/>
        <w:left w:val="none" w:sz="0" w:space="0" w:color="auto"/>
        <w:bottom w:val="none" w:sz="0" w:space="0" w:color="auto"/>
        <w:right w:val="none" w:sz="0" w:space="0" w:color="auto"/>
      </w:divBdr>
    </w:div>
    <w:div w:id="1546871888">
      <w:bodyDiv w:val="1"/>
      <w:marLeft w:val="0"/>
      <w:marRight w:val="0"/>
      <w:marTop w:val="0"/>
      <w:marBottom w:val="0"/>
      <w:divBdr>
        <w:top w:val="none" w:sz="0" w:space="0" w:color="auto"/>
        <w:left w:val="none" w:sz="0" w:space="0" w:color="auto"/>
        <w:bottom w:val="none" w:sz="0" w:space="0" w:color="auto"/>
        <w:right w:val="none" w:sz="0" w:space="0" w:color="auto"/>
      </w:divBdr>
    </w:div>
    <w:div w:id="1569611610">
      <w:bodyDiv w:val="1"/>
      <w:marLeft w:val="0"/>
      <w:marRight w:val="0"/>
      <w:marTop w:val="0"/>
      <w:marBottom w:val="0"/>
      <w:divBdr>
        <w:top w:val="none" w:sz="0" w:space="0" w:color="auto"/>
        <w:left w:val="none" w:sz="0" w:space="0" w:color="auto"/>
        <w:bottom w:val="none" w:sz="0" w:space="0" w:color="auto"/>
        <w:right w:val="none" w:sz="0" w:space="0" w:color="auto"/>
      </w:divBdr>
    </w:div>
    <w:div w:id="1599632473">
      <w:bodyDiv w:val="1"/>
      <w:marLeft w:val="0"/>
      <w:marRight w:val="0"/>
      <w:marTop w:val="0"/>
      <w:marBottom w:val="0"/>
      <w:divBdr>
        <w:top w:val="none" w:sz="0" w:space="0" w:color="auto"/>
        <w:left w:val="none" w:sz="0" w:space="0" w:color="auto"/>
        <w:bottom w:val="none" w:sz="0" w:space="0" w:color="auto"/>
        <w:right w:val="none" w:sz="0" w:space="0" w:color="auto"/>
      </w:divBdr>
    </w:div>
    <w:div w:id="1605841900">
      <w:bodyDiv w:val="1"/>
      <w:marLeft w:val="0"/>
      <w:marRight w:val="0"/>
      <w:marTop w:val="0"/>
      <w:marBottom w:val="0"/>
      <w:divBdr>
        <w:top w:val="none" w:sz="0" w:space="0" w:color="auto"/>
        <w:left w:val="none" w:sz="0" w:space="0" w:color="auto"/>
        <w:bottom w:val="none" w:sz="0" w:space="0" w:color="auto"/>
        <w:right w:val="none" w:sz="0" w:space="0" w:color="auto"/>
      </w:divBdr>
    </w:div>
    <w:div w:id="1682201571">
      <w:bodyDiv w:val="1"/>
      <w:marLeft w:val="0"/>
      <w:marRight w:val="0"/>
      <w:marTop w:val="0"/>
      <w:marBottom w:val="0"/>
      <w:divBdr>
        <w:top w:val="none" w:sz="0" w:space="0" w:color="auto"/>
        <w:left w:val="none" w:sz="0" w:space="0" w:color="auto"/>
        <w:bottom w:val="none" w:sz="0" w:space="0" w:color="auto"/>
        <w:right w:val="none" w:sz="0" w:space="0" w:color="auto"/>
      </w:divBdr>
    </w:div>
    <w:div w:id="1741125558">
      <w:bodyDiv w:val="1"/>
      <w:marLeft w:val="0"/>
      <w:marRight w:val="0"/>
      <w:marTop w:val="0"/>
      <w:marBottom w:val="0"/>
      <w:divBdr>
        <w:top w:val="none" w:sz="0" w:space="0" w:color="auto"/>
        <w:left w:val="none" w:sz="0" w:space="0" w:color="auto"/>
        <w:bottom w:val="none" w:sz="0" w:space="0" w:color="auto"/>
        <w:right w:val="none" w:sz="0" w:space="0" w:color="auto"/>
      </w:divBdr>
    </w:div>
    <w:div w:id="1878349016">
      <w:bodyDiv w:val="1"/>
      <w:marLeft w:val="0"/>
      <w:marRight w:val="0"/>
      <w:marTop w:val="0"/>
      <w:marBottom w:val="0"/>
      <w:divBdr>
        <w:top w:val="none" w:sz="0" w:space="0" w:color="auto"/>
        <w:left w:val="none" w:sz="0" w:space="0" w:color="auto"/>
        <w:bottom w:val="none" w:sz="0" w:space="0" w:color="auto"/>
        <w:right w:val="none" w:sz="0" w:space="0" w:color="auto"/>
      </w:divBdr>
    </w:div>
    <w:div w:id="1907688896">
      <w:bodyDiv w:val="1"/>
      <w:marLeft w:val="0"/>
      <w:marRight w:val="0"/>
      <w:marTop w:val="0"/>
      <w:marBottom w:val="0"/>
      <w:divBdr>
        <w:top w:val="none" w:sz="0" w:space="0" w:color="auto"/>
        <w:left w:val="none" w:sz="0" w:space="0" w:color="auto"/>
        <w:bottom w:val="none" w:sz="0" w:space="0" w:color="auto"/>
        <w:right w:val="none" w:sz="0" w:space="0" w:color="auto"/>
      </w:divBdr>
    </w:div>
    <w:div w:id="1943955747">
      <w:bodyDiv w:val="1"/>
      <w:marLeft w:val="0"/>
      <w:marRight w:val="0"/>
      <w:marTop w:val="0"/>
      <w:marBottom w:val="0"/>
      <w:divBdr>
        <w:top w:val="none" w:sz="0" w:space="0" w:color="auto"/>
        <w:left w:val="none" w:sz="0" w:space="0" w:color="auto"/>
        <w:bottom w:val="none" w:sz="0" w:space="0" w:color="auto"/>
        <w:right w:val="none" w:sz="0" w:space="0" w:color="auto"/>
      </w:divBdr>
    </w:div>
    <w:div w:id="1953246765">
      <w:bodyDiv w:val="1"/>
      <w:marLeft w:val="0"/>
      <w:marRight w:val="0"/>
      <w:marTop w:val="0"/>
      <w:marBottom w:val="0"/>
      <w:divBdr>
        <w:top w:val="none" w:sz="0" w:space="0" w:color="auto"/>
        <w:left w:val="none" w:sz="0" w:space="0" w:color="auto"/>
        <w:bottom w:val="none" w:sz="0" w:space="0" w:color="auto"/>
        <w:right w:val="none" w:sz="0" w:space="0" w:color="auto"/>
      </w:divBdr>
    </w:div>
    <w:div w:id="1958174584">
      <w:bodyDiv w:val="1"/>
      <w:marLeft w:val="0"/>
      <w:marRight w:val="0"/>
      <w:marTop w:val="0"/>
      <w:marBottom w:val="0"/>
      <w:divBdr>
        <w:top w:val="none" w:sz="0" w:space="0" w:color="auto"/>
        <w:left w:val="none" w:sz="0" w:space="0" w:color="auto"/>
        <w:bottom w:val="none" w:sz="0" w:space="0" w:color="auto"/>
        <w:right w:val="none" w:sz="0" w:space="0" w:color="auto"/>
      </w:divBdr>
    </w:div>
    <w:div w:id="1984920668">
      <w:bodyDiv w:val="1"/>
      <w:marLeft w:val="0"/>
      <w:marRight w:val="0"/>
      <w:marTop w:val="0"/>
      <w:marBottom w:val="0"/>
      <w:divBdr>
        <w:top w:val="none" w:sz="0" w:space="0" w:color="auto"/>
        <w:left w:val="none" w:sz="0" w:space="0" w:color="auto"/>
        <w:bottom w:val="none" w:sz="0" w:space="0" w:color="auto"/>
        <w:right w:val="none" w:sz="0" w:space="0" w:color="auto"/>
      </w:divBdr>
    </w:div>
    <w:div w:id="20385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0D35-4D12-47A4-9771-3DCD5FC5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2</cp:revision>
  <cp:lastPrinted>2017-09-12T07:02:00Z</cp:lastPrinted>
  <dcterms:created xsi:type="dcterms:W3CDTF">2017-09-14T14:40:00Z</dcterms:created>
  <dcterms:modified xsi:type="dcterms:W3CDTF">2017-09-14T14:40:00Z</dcterms:modified>
</cp:coreProperties>
</file>